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49A3DF" w14:textId="77777777" w:rsidR="00C32531" w:rsidRDefault="00C32531" w:rsidP="00AE0EF3">
      <w:pPr>
        <w:jc w:val="both"/>
        <w:rPr>
          <w:rFonts w:ascii="Arial" w:eastAsia="Calibri" w:hAnsi="Arial" w:cs="Arial"/>
          <w:b/>
        </w:rPr>
      </w:pPr>
      <w:r>
        <w:rPr>
          <w:rFonts w:ascii="Arial" w:eastAsia="Calibri" w:hAnsi="Arial" w:cs="Arial"/>
          <w:b/>
        </w:rPr>
        <w:t>PAGRINDIMAS DĖL PIRKIMO OBJEKTO NESKAIDYMO</w:t>
      </w:r>
    </w:p>
    <w:p w14:paraId="46FCD5F2" w14:textId="77777777" w:rsidR="00AE0EF3" w:rsidRPr="0077170E" w:rsidRDefault="00AE0EF3" w:rsidP="00AE0EF3">
      <w:pPr>
        <w:jc w:val="both"/>
        <w:rPr>
          <w:rFonts w:ascii="Arial" w:eastAsia="Calibri" w:hAnsi="Arial" w:cs="Arial"/>
          <w:b/>
        </w:rPr>
      </w:pPr>
    </w:p>
    <w:p w14:paraId="19B70565" w14:textId="77777777" w:rsidR="00AE0EF3" w:rsidRPr="0077170E" w:rsidRDefault="00AE0EF3" w:rsidP="00AE0EF3">
      <w:pPr>
        <w:jc w:val="both"/>
        <w:rPr>
          <w:rFonts w:ascii="Arial" w:eastAsia="Calibri" w:hAnsi="Arial" w:cs="Arial"/>
          <w:b/>
          <w:sz w:val="20"/>
          <w:szCs w:val="20"/>
        </w:rPr>
      </w:pPr>
      <w:r w:rsidRPr="0077170E">
        <w:rPr>
          <w:rFonts w:ascii="Arial" w:hAnsi="Arial" w:cs="Arial"/>
          <w:b/>
          <w:bCs/>
          <w:sz w:val="20"/>
          <w:szCs w:val="20"/>
          <w:bdr w:val="none" w:sz="0" w:space="0" w:color="auto" w:frame="1"/>
        </w:rPr>
        <w:t>UAB „</w:t>
      </w:r>
      <w:proofErr w:type="spellStart"/>
      <w:r w:rsidRPr="0077170E">
        <w:rPr>
          <w:rFonts w:ascii="Arial" w:hAnsi="Arial" w:cs="Arial"/>
          <w:b/>
          <w:bCs/>
          <w:sz w:val="20"/>
          <w:szCs w:val="20"/>
          <w:bdr w:val="none" w:sz="0" w:space="0" w:color="auto" w:frame="1"/>
        </w:rPr>
        <w:t>Ignitis</w:t>
      </w:r>
      <w:proofErr w:type="spellEnd"/>
      <w:r w:rsidRPr="0077170E">
        <w:rPr>
          <w:rFonts w:ascii="Arial" w:hAnsi="Arial" w:cs="Arial"/>
          <w:b/>
          <w:bCs/>
          <w:sz w:val="20"/>
          <w:szCs w:val="20"/>
          <w:bdr w:val="none" w:sz="0" w:space="0" w:color="auto" w:frame="1"/>
        </w:rPr>
        <w:t xml:space="preserve"> grupės paslaugų centras“</w:t>
      </w:r>
      <w:r w:rsidRPr="0077170E">
        <w:rPr>
          <w:rFonts w:ascii="Arial" w:hAnsi="Arial" w:cs="Arial"/>
          <w:sz w:val="20"/>
          <w:szCs w:val="20"/>
        </w:rPr>
        <w:t xml:space="preserve"> </w:t>
      </w:r>
      <w:r w:rsidRPr="0077170E">
        <w:rPr>
          <w:rFonts w:ascii="Arial" w:eastAsia="Calibri" w:hAnsi="Arial" w:cs="Arial"/>
          <w:sz w:val="20"/>
          <w:szCs w:val="20"/>
        </w:rPr>
        <w:t>(toliau – Pirkėjas/GPC) yra</w:t>
      </w:r>
      <w:r w:rsidRPr="0077170E">
        <w:rPr>
          <w:rFonts w:ascii="Arial" w:eastAsia="Calibri" w:hAnsi="Arial" w:cs="Arial"/>
          <w:b/>
          <w:sz w:val="20"/>
          <w:szCs w:val="20"/>
        </w:rPr>
        <w:t xml:space="preserve"> </w:t>
      </w:r>
      <w:r w:rsidRPr="0077170E">
        <w:rPr>
          <w:rFonts w:ascii="Arial" w:hAnsi="Arial" w:cs="Arial"/>
          <w:sz w:val="20"/>
          <w:szCs w:val="20"/>
        </w:rPr>
        <w:t>viena didžiausių Lietuvoje informacinių technologijų (toliau – IT) bendrovių, teikianti IT ir telekomunikacijų paslaugas AB „</w:t>
      </w:r>
      <w:proofErr w:type="spellStart"/>
      <w:r w:rsidRPr="0077170E">
        <w:rPr>
          <w:rFonts w:ascii="Arial" w:hAnsi="Arial" w:cs="Arial"/>
          <w:sz w:val="20"/>
          <w:szCs w:val="20"/>
        </w:rPr>
        <w:t>Ignitis</w:t>
      </w:r>
      <w:proofErr w:type="spellEnd"/>
      <w:r w:rsidRPr="0077170E">
        <w:rPr>
          <w:rFonts w:ascii="Arial" w:hAnsi="Arial" w:cs="Arial"/>
          <w:sz w:val="20"/>
          <w:szCs w:val="20"/>
        </w:rPr>
        <w:t xml:space="preserve"> grupė“ įmonėms (toliau – Grupė).</w:t>
      </w:r>
      <w:r w:rsidRPr="0077170E">
        <w:rPr>
          <w:rFonts w:ascii="Arial" w:eastAsia="Calibri" w:hAnsi="Arial" w:cs="Arial"/>
          <w:b/>
          <w:sz w:val="20"/>
          <w:szCs w:val="20"/>
        </w:rPr>
        <w:t xml:space="preserve"> </w:t>
      </w:r>
    </w:p>
    <w:p w14:paraId="24A1FCE4" w14:textId="77777777" w:rsidR="00AE0EF3" w:rsidRPr="0077170E" w:rsidRDefault="00AE0EF3" w:rsidP="00AE0EF3">
      <w:pPr>
        <w:jc w:val="both"/>
        <w:rPr>
          <w:rFonts w:ascii="Arial" w:hAnsi="Arial" w:cs="Arial"/>
          <w:sz w:val="20"/>
          <w:szCs w:val="20"/>
        </w:rPr>
      </w:pPr>
      <w:r w:rsidRPr="0077170E">
        <w:rPr>
          <w:rFonts w:ascii="Arial" w:hAnsi="Arial" w:cs="Arial"/>
          <w:sz w:val="20"/>
          <w:szCs w:val="20"/>
        </w:rPr>
        <w:t>Šiuo metu GPC koncentruotai paslaugas teikia Grupės  įmonėms:</w:t>
      </w:r>
    </w:p>
    <w:p w14:paraId="756F8EDE" w14:textId="77777777" w:rsidR="00AE0EF3" w:rsidRPr="0077170E" w:rsidRDefault="00AE0EF3" w:rsidP="00AE0EF3">
      <w:pPr>
        <w:numPr>
          <w:ilvl w:val="0"/>
          <w:numId w:val="1"/>
        </w:numPr>
        <w:spacing w:after="0" w:line="240" w:lineRule="auto"/>
        <w:jc w:val="both"/>
        <w:rPr>
          <w:rFonts w:ascii="Arial" w:hAnsi="Arial" w:cs="Arial"/>
          <w:sz w:val="20"/>
          <w:szCs w:val="20"/>
        </w:rPr>
      </w:pPr>
      <w:r w:rsidRPr="0077170E">
        <w:rPr>
          <w:rFonts w:ascii="Arial" w:hAnsi="Arial" w:cs="Arial"/>
          <w:sz w:val="20"/>
          <w:szCs w:val="20"/>
        </w:rPr>
        <w:t>prižiūri virš 100 taikomųjų bei duomenų perdavimo sistemų;</w:t>
      </w:r>
    </w:p>
    <w:p w14:paraId="53C8C4E5" w14:textId="77777777" w:rsidR="00AE0EF3" w:rsidRPr="0077170E" w:rsidRDefault="00AE0EF3" w:rsidP="00AE0EF3">
      <w:pPr>
        <w:numPr>
          <w:ilvl w:val="0"/>
          <w:numId w:val="1"/>
        </w:numPr>
        <w:spacing w:after="0" w:line="240" w:lineRule="auto"/>
        <w:jc w:val="both"/>
        <w:rPr>
          <w:rFonts w:ascii="Arial" w:hAnsi="Arial" w:cs="Arial"/>
          <w:sz w:val="20"/>
          <w:szCs w:val="20"/>
        </w:rPr>
      </w:pPr>
      <w:r w:rsidRPr="0077170E">
        <w:rPr>
          <w:rFonts w:ascii="Arial" w:hAnsi="Arial" w:cs="Arial"/>
          <w:sz w:val="20"/>
          <w:szCs w:val="20"/>
        </w:rPr>
        <w:t>atlieka 250 tarnybinių stočių ir apie 4000 kompiuterinių darbo vietų visoje Lietuvoje priežiūrą ir aptarnavimą;</w:t>
      </w:r>
    </w:p>
    <w:p w14:paraId="583674E9" w14:textId="77777777" w:rsidR="00AE0EF3" w:rsidRPr="0077170E" w:rsidRDefault="00AE0EF3" w:rsidP="00AE0EF3">
      <w:pPr>
        <w:numPr>
          <w:ilvl w:val="0"/>
          <w:numId w:val="1"/>
        </w:numPr>
        <w:spacing w:after="0" w:line="240" w:lineRule="auto"/>
        <w:jc w:val="both"/>
        <w:rPr>
          <w:rFonts w:ascii="Arial" w:hAnsi="Arial" w:cs="Arial"/>
          <w:sz w:val="20"/>
          <w:szCs w:val="20"/>
        </w:rPr>
      </w:pPr>
      <w:r w:rsidRPr="0077170E">
        <w:rPr>
          <w:rFonts w:ascii="Arial" w:hAnsi="Arial" w:cs="Arial"/>
          <w:sz w:val="20"/>
          <w:szCs w:val="20"/>
        </w:rPr>
        <w:t>projektuoja, diegia ir aptarnauja integruotas IT sistemas;</w:t>
      </w:r>
    </w:p>
    <w:p w14:paraId="3C2FE1D1" w14:textId="77777777" w:rsidR="00AE0EF3" w:rsidRPr="0077170E" w:rsidRDefault="00AE0EF3" w:rsidP="00AE0EF3">
      <w:pPr>
        <w:numPr>
          <w:ilvl w:val="0"/>
          <w:numId w:val="1"/>
        </w:numPr>
        <w:spacing w:after="0" w:line="240" w:lineRule="auto"/>
        <w:jc w:val="both"/>
        <w:rPr>
          <w:rFonts w:ascii="Arial" w:hAnsi="Arial" w:cs="Arial"/>
          <w:sz w:val="20"/>
          <w:szCs w:val="20"/>
        </w:rPr>
      </w:pPr>
      <w:r w:rsidRPr="0077170E">
        <w:rPr>
          <w:rFonts w:ascii="Arial" w:hAnsi="Arial" w:cs="Arial"/>
          <w:sz w:val="20"/>
          <w:szCs w:val="20"/>
        </w:rPr>
        <w:t>inicijuoja ir įgyvendina strateginius kompetencijų, naujovių, žinių valdymo projektus.</w:t>
      </w:r>
    </w:p>
    <w:p w14:paraId="13F6DA3B" w14:textId="77777777" w:rsidR="00AE0EF3" w:rsidRPr="0077170E" w:rsidRDefault="00AE0EF3" w:rsidP="00AE0EF3">
      <w:pPr>
        <w:jc w:val="both"/>
        <w:rPr>
          <w:rFonts w:ascii="Arial" w:eastAsia="Calibri" w:hAnsi="Arial" w:cs="Arial"/>
          <w:b/>
          <w:sz w:val="20"/>
          <w:szCs w:val="20"/>
        </w:rPr>
      </w:pPr>
    </w:p>
    <w:p w14:paraId="001ED1F8" w14:textId="73A39FC5" w:rsidR="00AE0EF3" w:rsidRPr="0077170E" w:rsidRDefault="00AE0EF3" w:rsidP="002B70A1">
      <w:pPr>
        <w:ind w:firstLine="426"/>
        <w:jc w:val="both"/>
        <w:rPr>
          <w:rFonts w:ascii="Arial" w:hAnsi="Arial" w:cs="Arial"/>
          <w:sz w:val="20"/>
          <w:szCs w:val="20"/>
        </w:rPr>
      </w:pPr>
      <w:r w:rsidRPr="1CBD1CC2">
        <w:rPr>
          <w:rFonts w:ascii="Arial" w:hAnsi="Arial" w:cs="Arial"/>
          <w:sz w:val="20"/>
          <w:szCs w:val="20"/>
        </w:rPr>
        <w:t xml:space="preserve">GPC inicijuoja IT kompetencijų paslaugų, kurias sudaro </w:t>
      </w:r>
      <w:r w:rsidR="00F71401" w:rsidRPr="1CBD1CC2">
        <w:rPr>
          <w:rFonts w:ascii="Arial" w:hAnsi="Arial" w:cs="Arial"/>
          <w:sz w:val="20"/>
          <w:szCs w:val="20"/>
        </w:rPr>
        <w:t>analitiko testuotojo</w:t>
      </w:r>
      <w:r w:rsidR="002B70A1">
        <w:rPr>
          <w:rFonts w:ascii="Arial" w:hAnsi="Arial" w:cs="Arial"/>
          <w:sz w:val="20"/>
          <w:szCs w:val="20"/>
        </w:rPr>
        <w:t xml:space="preserve">, .NET programuotojo ir Power </w:t>
      </w:r>
      <w:proofErr w:type="spellStart"/>
      <w:r w:rsidR="002B70A1">
        <w:rPr>
          <w:rFonts w:ascii="Arial" w:hAnsi="Arial" w:cs="Arial"/>
          <w:sz w:val="20"/>
          <w:szCs w:val="20"/>
        </w:rPr>
        <w:t>Platform</w:t>
      </w:r>
      <w:proofErr w:type="spellEnd"/>
      <w:r w:rsidR="002B70A1">
        <w:rPr>
          <w:rFonts w:ascii="Arial" w:hAnsi="Arial" w:cs="Arial"/>
          <w:sz w:val="20"/>
          <w:szCs w:val="20"/>
        </w:rPr>
        <w:t xml:space="preserve"> </w:t>
      </w:r>
      <w:proofErr w:type="spellStart"/>
      <w:r w:rsidR="002B70A1">
        <w:rPr>
          <w:rFonts w:ascii="Arial" w:hAnsi="Arial" w:cs="Arial"/>
          <w:sz w:val="20"/>
          <w:szCs w:val="20"/>
        </w:rPr>
        <w:t>spcialisto</w:t>
      </w:r>
      <w:proofErr w:type="spellEnd"/>
      <w:r w:rsidR="00F71401" w:rsidRPr="1CBD1CC2">
        <w:rPr>
          <w:rFonts w:ascii="Arial" w:hAnsi="Arial" w:cs="Arial"/>
          <w:sz w:val="20"/>
          <w:szCs w:val="20"/>
        </w:rPr>
        <w:t xml:space="preserve"> </w:t>
      </w:r>
      <w:r w:rsidRPr="1CBD1CC2">
        <w:rPr>
          <w:rFonts w:ascii="Arial" w:hAnsi="Arial" w:cs="Arial"/>
          <w:sz w:val="20"/>
          <w:szCs w:val="20"/>
        </w:rPr>
        <w:t>paslaugos (toliau – Paslaugos) tarptautinį viešąjį pirkimą (toliau – Pirkimas). Ši</w:t>
      </w:r>
      <w:r w:rsidR="70B8751A" w:rsidRPr="1CBD1CC2">
        <w:rPr>
          <w:rFonts w:ascii="Arial" w:hAnsi="Arial" w:cs="Arial"/>
          <w:sz w:val="20"/>
          <w:szCs w:val="20"/>
        </w:rPr>
        <w:t>os</w:t>
      </w:r>
      <w:r w:rsidRPr="1CBD1CC2">
        <w:rPr>
          <w:rFonts w:ascii="Arial" w:hAnsi="Arial" w:cs="Arial"/>
          <w:sz w:val="20"/>
          <w:szCs w:val="20"/>
        </w:rPr>
        <w:t xml:space="preserve"> Paslaug</w:t>
      </w:r>
      <w:r w:rsidR="768C904C" w:rsidRPr="1CBD1CC2">
        <w:rPr>
          <w:rFonts w:ascii="Arial" w:hAnsi="Arial" w:cs="Arial"/>
          <w:sz w:val="20"/>
          <w:szCs w:val="20"/>
        </w:rPr>
        <w:t>os</w:t>
      </w:r>
      <w:r w:rsidRPr="1CBD1CC2">
        <w:rPr>
          <w:rFonts w:ascii="Arial" w:hAnsi="Arial" w:cs="Arial"/>
          <w:sz w:val="20"/>
          <w:szCs w:val="20"/>
        </w:rPr>
        <w:t xml:space="preserve"> užtikrins nenutrūkstamą ir savalaikį taikomųjų bei duomenų perdavimo sistemų veikimą ir jų išvystymą, kuris būtinas AB „</w:t>
      </w:r>
      <w:proofErr w:type="spellStart"/>
      <w:r w:rsidRPr="1CBD1CC2">
        <w:rPr>
          <w:rFonts w:ascii="Arial" w:hAnsi="Arial" w:cs="Arial"/>
          <w:sz w:val="20"/>
          <w:szCs w:val="20"/>
        </w:rPr>
        <w:t>Ignitis</w:t>
      </w:r>
      <w:proofErr w:type="spellEnd"/>
      <w:r w:rsidRPr="1CBD1CC2">
        <w:rPr>
          <w:rFonts w:ascii="Arial" w:hAnsi="Arial" w:cs="Arial"/>
          <w:sz w:val="20"/>
          <w:szCs w:val="20"/>
        </w:rPr>
        <w:t xml:space="preserve"> grupės“ įmonių</w:t>
      </w:r>
      <w:r w:rsidR="5677BF14" w:rsidRPr="1CBD1CC2">
        <w:rPr>
          <w:rFonts w:ascii="Arial" w:hAnsi="Arial" w:cs="Arial"/>
          <w:sz w:val="20"/>
          <w:szCs w:val="20"/>
        </w:rPr>
        <w:t xml:space="preserve"> (toliau - Grupė)</w:t>
      </w:r>
      <w:r w:rsidRPr="1CBD1CC2">
        <w:rPr>
          <w:rFonts w:ascii="Arial" w:hAnsi="Arial" w:cs="Arial"/>
          <w:sz w:val="20"/>
          <w:szCs w:val="20"/>
        </w:rPr>
        <w:t xml:space="preserve"> paslaugų teikimui ir kit</w:t>
      </w:r>
      <w:r w:rsidR="0047669E">
        <w:rPr>
          <w:rFonts w:ascii="Arial" w:hAnsi="Arial" w:cs="Arial"/>
          <w:sz w:val="20"/>
          <w:szCs w:val="20"/>
        </w:rPr>
        <w:t>iems</w:t>
      </w:r>
      <w:r w:rsidRPr="1CBD1CC2">
        <w:rPr>
          <w:rFonts w:ascii="Arial" w:hAnsi="Arial" w:cs="Arial"/>
          <w:sz w:val="20"/>
          <w:szCs w:val="20"/>
        </w:rPr>
        <w:t xml:space="preserve"> susijusi</w:t>
      </w:r>
      <w:r w:rsidR="0047669E">
        <w:rPr>
          <w:rFonts w:ascii="Arial" w:hAnsi="Arial" w:cs="Arial"/>
          <w:sz w:val="20"/>
          <w:szCs w:val="20"/>
        </w:rPr>
        <w:t>ems</w:t>
      </w:r>
      <w:r w:rsidRPr="1CBD1CC2">
        <w:rPr>
          <w:rFonts w:ascii="Arial" w:hAnsi="Arial" w:cs="Arial"/>
          <w:sz w:val="20"/>
          <w:szCs w:val="20"/>
        </w:rPr>
        <w:t xml:space="preserve"> eksploatavimo proces</w:t>
      </w:r>
      <w:r w:rsidR="0047669E">
        <w:rPr>
          <w:rFonts w:ascii="Arial" w:hAnsi="Arial" w:cs="Arial"/>
          <w:sz w:val="20"/>
          <w:szCs w:val="20"/>
        </w:rPr>
        <w:t>ams</w:t>
      </w:r>
      <w:r w:rsidRPr="1CBD1CC2">
        <w:rPr>
          <w:rFonts w:ascii="Arial" w:hAnsi="Arial" w:cs="Arial"/>
          <w:sz w:val="20"/>
          <w:szCs w:val="20"/>
        </w:rPr>
        <w:t xml:space="preserve"> </w:t>
      </w:r>
      <w:r w:rsidR="0047669E">
        <w:rPr>
          <w:rFonts w:ascii="Arial" w:hAnsi="Arial" w:cs="Arial"/>
          <w:sz w:val="20"/>
          <w:szCs w:val="20"/>
        </w:rPr>
        <w:t xml:space="preserve">bei </w:t>
      </w:r>
      <w:r w:rsidRPr="1CBD1CC2">
        <w:rPr>
          <w:rFonts w:ascii="Arial" w:hAnsi="Arial" w:cs="Arial"/>
          <w:sz w:val="20"/>
          <w:szCs w:val="20"/>
        </w:rPr>
        <w:t>duomenų valdym</w:t>
      </w:r>
      <w:r w:rsidR="0047669E">
        <w:rPr>
          <w:rFonts w:ascii="Arial" w:hAnsi="Arial" w:cs="Arial"/>
          <w:sz w:val="20"/>
          <w:szCs w:val="20"/>
        </w:rPr>
        <w:t>ui</w:t>
      </w:r>
      <w:r w:rsidRPr="1CBD1CC2">
        <w:rPr>
          <w:rFonts w:ascii="Arial" w:hAnsi="Arial" w:cs="Arial"/>
          <w:sz w:val="20"/>
          <w:szCs w:val="20"/>
        </w:rPr>
        <w:t xml:space="preserve"> Grupėje. </w:t>
      </w:r>
    </w:p>
    <w:p w14:paraId="29902018" w14:textId="67354C10" w:rsidR="00AE0EF3" w:rsidRPr="0077170E" w:rsidRDefault="00AE0EF3" w:rsidP="1CBD1CC2">
      <w:pPr>
        <w:ind w:firstLine="447"/>
        <w:jc w:val="both"/>
        <w:rPr>
          <w:rFonts w:ascii="Arial" w:hAnsi="Arial" w:cs="Arial"/>
          <w:sz w:val="20"/>
          <w:szCs w:val="20"/>
        </w:rPr>
      </w:pPr>
      <w:r w:rsidRPr="1CBD1CC2">
        <w:rPr>
          <w:rFonts w:ascii="Arial" w:eastAsia="Calibri" w:hAnsi="Arial" w:cs="Arial"/>
          <w:sz w:val="20"/>
          <w:szCs w:val="20"/>
        </w:rPr>
        <w:t xml:space="preserve">Paslaugos skirtos taikomųjų bei duomenų perdavimo sistemų vystymo </w:t>
      </w:r>
      <w:r w:rsidR="0047669E">
        <w:rPr>
          <w:rFonts w:ascii="Arial" w:eastAsia="Calibri" w:hAnsi="Arial" w:cs="Arial"/>
          <w:sz w:val="20"/>
          <w:szCs w:val="20"/>
        </w:rPr>
        <w:t>paslaugoms teikti</w:t>
      </w:r>
      <w:r w:rsidRPr="1CBD1CC2">
        <w:rPr>
          <w:rFonts w:ascii="Arial" w:eastAsia="Calibri" w:hAnsi="Arial" w:cs="Arial"/>
          <w:sz w:val="20"/>
          <w:szCs w:val="20"/>
        </w:rPr>
        <w:t xml:space="preserve"> dirbant kartu su kartu su GPC suformuotomis sistemų vystymo komandomis, kurios teikia aptarnavimo paslaugas  </w:t>
      </w:r>
      <w:r w:rsidR="690FB2F0" w:rsidRPr="1CBD1CC2">
        <w:rPr>
          <w:rFonts w:ascii="Arial" w:eastAsia="Calibri" w:hAnsi="Arial" w:cs="Arial"/>
          <w:sz w:val="20"/>
          <w:szCs w:val="20"/>
        </w:rPr>
        <w:t>G</w:t>
      </w:r>
      <w:r w:rsidRPr="1CBD1CC2">
        <w:rPr>
          <w:rFonts w:ascii="Arial" w:eastAsia="Calibri" w:hAnsi="Arial" w:cs="Arial"/>
          <w:sz w:val="20"/>
          <w:szCs w:val="20"/>
        </w:rPr>
        <w:t>rupės įmonėse naudojamo</w:t>
      </w:r>
      <w:r w:rsidR="0047669E">
        <w:rPr>
          <w:rFonts w:ascii="Arial" w:eastAsia="Calibri" w:hAnsi="Arial" w:cs="Arial"/>
          <w:sz w:val="20"/>
          <w:szCs w:val="20"/>
        </w:rPr>
        <w:t>m</w:t>
      </w:r>
      <w:r w:rsidRPr="1CBD1CC2">
        <w:rPr>
          <w:rFonts w:ascii="Arial" w:eastAsia="Calibri" w:hAnsi="Arial" w:cs="Arial"/>
          <w:sz w:val="20"/>
          <w:szCs w:val="20"/>
        </w:rPr>
        <w:t>s sistemo</w:t>
      </w:r>
      <w:r w:rsidR="0047669E">
        <w:rPr>
          <w:rFonts w:ascii="Arial" w:eastAsia="Calibri" w:hAnsi="Arial" w:cs="Arial"/>
          <w:sz w:val="20"/>
          <w:szCs w:val="20"/>
        </w:rPr>
        <w:t>m</w:t>
      </w:r>
      <w:r w:rsidRPr="1CBD1CC2">
        <w:rPr>
          <w:rFonts w:ascii="Arial" w:eastAsia="Calibri" w:hAnsi="Arial" w:cs="Arial"/>
          <w:sz w:val="20"/>
          <w:szCs w:val="20"/>
        </w:rPr>
        <w:t xml:space="preserve">s. </w:t>
      </w:r>
    </w:p>
    <w:p w14:paraId="192C0B84" w14:textId="77777777" w:rsidR="00AE0EF3" w:rsidRPr="00211BA5" w:rsidRDefault="00AE0EF3" w:rsidP="00AE0EF3">
      <w:pPr>
        <w:pStyle w:val="ListParagraph"/>
        <w:ind w:left="0"/>
        <w:contextualSpacing w:val="0"/>
        <w:jc w:val="both"/>
        <w:rPr>
          <w:b/>
        </w:rPr>
      </w:pPr>
    </w:p>
    <w:p w14:paraId="4C6A000D" w14:textId="06196794" w:rsidR="00AE0EF3" w:rsidRPr="0077170E" w:rsidRDefault="00AE0EF3" w:rsidP="1CBD1CC2">
      <w:pPr>
        <w:pStyle w:val="ListParagraph"/>
        <w:tabs>
          <w:tab w:val="left" w:pos="567"/>
        </w:tabs>
        <w:ind w:left="0"/>
        <w:jc w:val="both"/>
      </w:pPr>
      <w:r>
        <w:t>Pirkimo objekto IT kompetencijų paslauga - šiame pirkime yra analitiko</w:t>
      </w:r>
      <w:r w:rsidR="003E6382">
        <w:t>,</w:t>
      </w:r>
      <w:r>
        <w:t xml:space="preserve"> testuotojo</w:t>
      </w:r>
      <w:r w:rsidR="003E6382">
        <w:t xml:space="preserve">, .NET programuotojo ir Power </w:t>
      </w:r>
      <w:proofErr w:type="spellStart"/>
      <w:r w:rsidR="003E6382">
        <w:t>Platform</w:t>
      </w:r>
      <w:proofErr w:type="spellEnd"/>
      <w:r w:rsidR="003E6382">
        <w:t xml:space="preserve"> specialisto</w:t>
      </w:r>
      <w:r>
        <w:t xml:space="preserve"> kompetencij</w:t>
      </w:r>
      <w:r w:rsidR="005329C8">
        <w:t>os, kurios skirtos vienam tikslui</w:t>
      </w:r>
      <w:r>
        <w:t xml:space="preserve">. </w:t>
      </w:r>
      <w:r w:rsidR="2A07E0AA">
        <w:t>Paslaugos</w:t>
      </w:r>
      <w:r>
        <w:t xml:space="preserve"> negali būti skaidom</w:t>
      </w:r>
      <w:r w:rsidR="3189E339">
        <w:t>os</w:t>
      </w:r>
      <w:r>
        <w:t xml:space="preserve"> į atskirus pirkimo objektus ir </w:t>
      </w:r>
      <w:r w:rsidR="003A4E0C">
        <w:t xml:space="preserve">turi būti </w:t>
      </w:r>
      <w:r>
        <w:t>suprantama kaip vientis</w:t>
      </w:r>
      <w:r w:rsidR="0E1223BD">
        <w:t>os</w:t>
      </w:r>
      <w:r>
        <w:t xml:space="preserve"> paslaug</w:t>
      </w:r>
      <w:r w:rsidR="014BF0D0">
        <w:t>os</w:t>
      </w:r>
      <w:r w:rsidR="005329C8">
        <w:t xml:space="preserve"> dėl </w:t>
      </w:r>
      <w:r w:rsidR="5202DA85">
        <w:t>P</w:t>
      </w:r>
      <w:r w:rsidR="005329C8">
        <w:t>aslaugų ypatumų, tarpusavio veiksmų privalomo koreliavimo ir  bendrai veiksmų koreliavimo tinkamumo.</w:t>
      </w:r>
      <w:r>
        <w:t xml:space="preserve"> </w:t>
      </w:r>
    </w:p>
    <w:p w14:paraId="1990D94D" w14:textId="77777777" w:rsidR="00AE0EF3" w:rsidRPr="0077170E" w:rsidRDefault="00AE0EF3" w:rsidP="00AE0EF3">
      <w:pPr>
        <w:pStyle w:val="ListParagraph"/>
        <w:tabs>
          <w:tab w:val="left" w:pos="567"/>
        </w:tabs>
        <w:ind w:left="0"/>
        <w:contextualSpacing w:val="0"/>
        <w:jc w:val="both"/>
        <w:rPr>
          <w:bCs/>
        </w:rPr>
      </w:pPr>
      <w:r w:rsidRPr="0077170E">
        <w:rPr>
          <w:bCs/>
        </w:rPr>
        <w:t xml:space="preserve">Vadovaujantis VPĮ 28 str. 1 d., tarptautinis pirkimas privalo būti skaidomas į dalis kiekybiniu, kokybiniu pagrindu ar pagal skirtingus jo įgyvendinimo etapus, išskyrus jei perkančioji organizacija, vadovaujantis VPĮ 28 str. 2 d., pirkimo dokumentuose pagrindžia, kad dėl to sumažėtų tiekėjų konkurencija, pirkimo sutarties vykdymas </w:t>
      </w:r>
      <w:r w:rsidRPr="0077170E">
        <w:rPr>
          <w:bCs/>
          <w:u w:val="single"/>
        </w:rPr>
        <w:t>taptų per daug brangus ar sudėtingas techniniu požiūriu, skirtingų pirkimo objekto dalių įgyvendinimas būtų glaudžiai susijęs ir dėl to perkančiajai organizacijai atsirastų būtinybė koordinuoti šių dalių tiekėjus ir tai keltų riziką netinkamai įvykdyti pirkimo sutartį</w:t>
      </w:r>
      <w:r w:rsidRPr="0077170E">
        <w:rPr>
          <w:bCs/>
        </w:rPr>
        <w:t>, ar nurodo kitas pagrįstas aplinkybes, dėl kurių netikslinga pirkimo objektą skaidyti į dalis.</w:t>
      </w:r>
    </w:p>
    <w:p w14:paraId="64ED2BFF" w14:textId="0B770D86" w:rsidR="00AE0EF3" w:rsidRPr="0077170E" w:rsidRDefault="00AE0EF3" w:rsidP="00AE0EF3">
      <w:pPr>
        <w:pStyle w:val="ListParagraph"/>
        <w:ind w:left="0"/>
        <w:jc w:val="both"/>
        <w:rPr>
          <w:bCs/>
        </w:rPr>
      </w:pPr>
      <w:r w:rsidRPr="0077170E">
        <w:rPr>
          <w:bCs/>
        </w:rPr>
        <w:t xml:space="preserve">IT analitiko pagrindinė funkcija išanalizuoti verslo poreikį, aprašyti ir suspecifikuoti funkcinius reikalavimus. Tuo tarpu testuotojo pagrindinė funkcija, atsižvelgiant į IT analitiko paruoštą specifikaciją, teikti jai pastabas, aprašyti testavimo scenarijus, paruošti testavimo planą ir atlikti testavimą (po programavimo darbų). Nustačius logines klaidas, testuotojas informuoja IT analitiką, kuris įvertinęs jas, koreguoja funkcinę specifikaciją. Jei sistemai analizę atliktų ir dokumentaciją ruoštų vieni Paslaugų teikėjai, o testavimo atvejus ruoštų ir testuotų kiti Paslaugų teikėjai, tai sistemos sutrikimo atveju būtų neaišku, kas yra atsakingas už sutrikimų šalinimą, </w:t>
      </w:r>
      <w:r w:rsidR="00C778FC">
        <w:rPr>
          <w:bCs/>
        </w:rPr>
        <w:t xml:space="preserve">sutrikimų šalinimas užtruktų neproporcingai ilgai, ir apskritai </w:t>
      </w:r>
      <w:r w:rsidRPr="0077170E">
        <w:rPr>
          <w:bCs/>
        </w:rPr>
        <w:t>pirmiausia reikėtų nustatyti, ar sutrikimai atsirado dėl nekokybiškai atliktos analizės, ko pas</w:t>
      </w:r>
      <w:r w:rsidR="00387B9F">
        <w:rPr>
          <w:bCs/>
        </w:rPr>
        <w:t>ė</w:t>
      </w:r>
      <w:r w:rsidRPr="0077170E">
        <w:rPr>
          <w:bCs/>
        </w:rPr>
        <w:t>koje atsirado nekokybiškas testavimas, ar dėl nekokybiško testavimo.</w:t>
      </w:r>
      <w:r w:rsidR="003E6382">
        <w:rPr>
          <w:bCs/>
        </w:rPr>
        <w:t xml:space="preserve"> </w:t>
      </w:r>
      <w:r w:rsidR="003E6382" w:rsidRPr="003E6382">
        <w:rPr>
          <w:bCs/>
        </w:rPr>
        <w:t xml:space="preserve">.NET programuotojo pagrindinė funkcija – pagal IT analitiko parengtą specifikaciją realizuoti reikalavimus programiniu kodu, atlikti integracinius testus, užtikrinti programinio sprendimo stabilumą ir kokybę, glaudžiai bendradarbiaujant tiek su analitiku, tiek su testuotoju. Power </w:t>
      </w:r>
      <w:proofErr w:type="spellStart"/>
      <w:r w:rsidR="003E6382" w:rsidRPr="003E6382">
        <w:rPr>
          <w:bCs/>
        </w:rPr>
        <w:t>Platform</w:t>
      </w:r>
      <w:proofErr w:type="spellEnd"/>
      <w:r w:rsidR="003E6382" w:rsidRPr="003E6382">
        <w:rPr>
          <w:bCs/>
        </w:rPr>
        <w:t xml:space="preserve"> specialistas atsakingas už verslo poreikių realizavimą naudojant Microsoft Power </w:t>
      </w:r>
      <w:proofErr w:type="spellStart"/>
      <w:r w:rsidR="003E6382" w:rsidRPr="003E6382">
        <w:rPr>
          <w:bCs/>
        </w:rPr>
        <w:t>Platform</w:t>
      </w:r>
      <w:proofErr w:type="spellEnd"/>
      <w:r w:rsidR="003E6382" w:rsidRPr="003E6382">
        <w:rPr>
          <w:bCs/>
        </w:rPr>
        <w:t xml:space="preserve"> technologijas (pvz., Power </w:t>
      </w:r>
      <w:proofErr w:type="spellStart"/>
      <w:r w:rsidR="003E6382" w:rsidRPr="003E6382">
        <w:rPr>
          <w:bCs/>
        </w:rPr>
        <w:t>Apps</w:t>
      </w:r>
      <w:proofErr w:type="spellEnd"/>
      <w:r w:rsidR="003E6382" w:rsidRPr="003E6382">
        <w:rPr>
          <w:bCs/>
        </w:rPr>
        <w:t>, Power Automate, Power BI), kurių sprendimai dažnai integruojami su .NET programiniais komponentais, todėl būtinas tiesioginis ir nuolatinis šių specialistų bendradarbiavimas.</w:t>
      </w:r>
      <w:r w:rsidRPr="0077170E">
        <w:rPr>
          <w:bCs/>
        </w:rPr>
        <w:t xml:space="preserve"> Tokiu atveju, esant dviem ar daugiau Paslaugų teikėjų, vien reakcija į sutrikimų šalinimą ir problemos atsakingo </w:t>
      </w:r>
      <w:proofErr w:type="spellStart"/>
      <w:r w:rsidRPr="0077170E">
        <w:rPr>
          <w:bCs/>
        </w:rPr>
        <w:t>sprendėjo</w:t>
      </w:r>
      <w:proofErr w:type="spellEnd"/>
      <w:r w:rsidRPr="0077170E">
        <w:rPr>
          <w:bCs/>
        </w:rPr>
        <w:t xml:space="preserve"> išgryninimas užtruktų žymiai ilgiau dėl papildomai reikalingo dialogo tarp skirtingų paslaugų teikėjų, ekspertizės, tuomet sutrikimų šalinimas gali tapti neįmanomu  </w:t>
      </w:r>
      <w:r w:rsidR="00387B9F">
        <w:rPr>
          <w:bCs/>
        </w:rPr>
        <w:t xml:space="preserve">per </w:t>
      </w:r>
      <w:r w:rsidRPr="0077170E">
        <w:rPr>
          <w:bCs/>
        </w:rPr>
        <w:t>numatytą SLA terminą (pagal kiekvienos sistemos individualiai).</w:t>
      </w:r>
    </w:p>
    <w:p w14:paraId="79BDCB59" w14:textId="02B3F9A0" w:rsidR="00AE0EF3" w:rsidRPr="0077170E" w:rsidRDefault="00AE0EF3" w:rsidP="00AE0EF3">
      <w:pPr>
        <w:pStyle w:val="ListParagraph"/>
        <w:ind w:left="0"/>
        <w:jc w:val="both"/>
      </w:pPr>
      <w:r>
        <w:t xml:space="preserve">Perkeliant </w:t>
      </w:r>
      <w:r w:rsidR="77AE3D02">
        <w:t>Paslaugas</w:t>
      </w:r>
      <w:r>
        <w:t>, kuri</w:t>
      </w:r>
      <w:r w:rsidR="33C3999E">
        <w:t>os</w:t>
      </w:r>
      <w:r>
        <w:t xml:space="preserve"> susij</w:t>
      </w:r>
      <w:r w:rsidR="0047669E">
        <w:t>usios</w:t>
      </w:r>
      <w:r>
        <w:t xml:space="preserve"> su analizės ir testavimo kokybe, į gamybinę aplinką, galimi incidentai bei Sistemos prastovos. Kadangi sistemos turi ir klientų informavimo funkcionalumą, todėl iškyla didelė tikimybė, kad dėl nekoordinuotų Paslaugų teikėjų veiksmų bus netinkamai/klaidingai informuoti klientai  – visi Lietuvos elektros vartotojai, išrašomos ar apskaičiuojamos klaidingos sąskaitos vartotojams. Tai stipriai </w:t>
      </w:r>
      <w:r>
        <w:lastRenderedPageBreak/>
        <w:t xml:space="preserve">pakenktų tiek GPC , tiek kitų </w:t>
      </w:r>
      <w:proofErr w:type="spellStart"/>
      <w:r>
        <w:t>Ignitis</w:t>
      </w:r>
      <w:proofErr w:type="spellEnd"/>
      <w:r>
        <w:t xml:space="preserve"> grupės įmonių reputacijai bei sudarytų didelių tiesioginių ir/ar netiesioginių nuostolių įmonėms.</w:t>
      </w:r>
    </w:p>
    <w:p w14:paraId="012EFCE3" w14:textId="53B273F4" w:rsidR="00AE0EF3" w:rsidRPr="0077170E" w:rsidRDefault="00C778FC" w:rsidP="00AE0EF3">
      <w:pPr>
        <w:pStyle w:val="ListParagraph"/>
        <w:tabs>
          <w:tab w:val="left" w:pos="567"/>
        </w:tabs>
        <w:ind w:left="0"/>
        <w:contextualSpacing w:val="0"/>
        <w:jc w:val="both"/>
        <w:rPr>
          <w:bCs/>
        </w:rPr>
      </w:pPr>
      <w:r>
        <w:rPr>
          <w:bCs/>
        </w:rPr>
        <w:t xml:space="preserve">Dėl </w:t>
      </w:r>
      <w:r w:rsidRPr="00232621">
        <w:rPr>
          <w:bCs/>
        </w:rPr>
        <w:t>aukščiau</w:t>
      </w:r>
      <w:r>
        <w:rPr>
          <w:bCs/>
        </w:rPr>
        <w:t xml:space="preserve"> nurodytų motyvų </w:t>
      </w:r>
      <w:r w:rsidR="00AE0EF3" w:rsidRPr="0077170E">
        <w:rPr>
          <w:bCs/>
        </w:rPr>
        <w:t xml:space="preserve">pirkimas negali būti skaidomas </w:t>
      </w:r>
      <w:r w:rsidR="00AE0EF3" w:rsidRPr="0077170E">
        <w:rPr>
          <w:b/>
        </w:rPr>
        <w:t xml:space="preserve">kokybiniu </w:t>
      </w:r>
      <w:r w:rsidR="00AE0EF3" w:rsidRPr="0077170E">
        <w:rPr>
          <w:bCs/>
        </w:rPr>
        <w:t xml:space="preserve">pagrindu, nes kompetencijos tarpusavyje susijusios ir taptų sudėtinga užtikrinti sutarties įgyvendinimą </w:t>
      </w:r>
      <w:r w:rsidR="005819D5">
        <w:rPr>
          <w:bCs/>
        </w:rPr>
        <w:t>grupės įmonėms</w:t>
      </w:r>
      <w:r w:rsidR="00AE0EF3" w:rsidRPr="0077170E">
        <w:rPr>
          <w:bCs/>
        </w:rPr>
        <w:t xml:space="preserve"> laiku pagal nustatytus SLA.</w:t>
      </w:r>
    </w:p>
    <w:p w14:paraId="02A84525" w14:textId="2771D1E2" w:rsidR="00AE0EF3" w:rsidRPr="0077170E" w:rsidRDefault="00AE0EF3" w:rsidP="00AE0EF3">
      <w:pPr>
        <w:pStyle w:val="ListParagraph"/>
        <w:tabs>
          <w:tab w:val="left" w:pos="567"/>
        </w:tabs>
        <w:ind w:left="0"/>
        <w:contextualSpacing w:val="0"/>
        <w:jc w:val="both"/>
        <w:rPr>
          <w:bCs/>
        </w:rPr>
      </w:pPr>
      <w:r w:rsidRPr="0077170E">
        <w:rPr>
          <w:b/>
        </w:rPr>
        <w:t xml:space="preserve">Kiekybiniu </w:t>
      </w:r>
      <w:r w:rsidRPr="0077170E">
        <w:rPr>
          <w:bCs/>
        </w:rPr>
        <w:t xml:space="preserve">pagrindu nėra galimybės skaidyti, nes perkama kompleksinė paslauga ir iš anksto nėra žinomas valandų poreikis sutarties galiojimo metu, skaidyti kompetencijų negalime, nes turime užtikrinti sutarties įgyvendinimą </w:t>
      </w:r>
      <w:r w:rsidR="005819D5">
        <w:rPr>
          <w:bCs/>
        </w:rPr>
        <w:t>grupės įmonėms</w:t>
      </w:r>
      <w:r w:rsidRPr="0077170E">
        <w:rPr>
          <w:bCs/>
        </w:rPr>
        <w:t xml:space="preserve"> pagal nustatytą SLA. </w:t>
      </w:r>
    </w:p>
    <w:p w14:paraId="0C714428" w14:textId="00173814" w:rsidR="00AE0EF3" w:rsidRPr="0077170E" w:rsidRDefault="00AE0EF3" w:rsidP="00AE0EF3">
      <w:pPr>
        <w:pStyle w:val="ListParagraph"/>
        <w:tabs>
          <w:tab w:val="left" w:pos="567"/>
        </w:tabs>
        <w:ind w:left="0"/>
        <w:contextualSpacing w:val="0"/>
        <w:jc w:val="both"/>
        <w:rPr>
          <w:bCs/>
        </w:rPr>
      </w:pPr>
      <w:r w:rsidRPr="0077170E">
        <w:rPr>
          <w:bCs/>
        </w:rPr>
        <w:t xml:space="preserve">Kadangi nėra žinomi konkretūs užsakymai ir etapai, nes perkama pagal atskirą poreikį, kuris iš anksto nėra žinomas, ir, priklausys nuo faktinio poreikio, kurio kilmės šalis yra kitų projektų pokyčiai, sisteminės klaidos ir pan., todėl skaidyti </w:t>
      </w:r>
      <w:r w:rsidRPr="0077170E">
        <w:rPr>
          <w:b/>
        </w:rPr>
        <w:t xml:space="preserve">įgyvendinimo etapų </w:t>
      </w:r>
      <w:r w:rsidRPr="0077170E">
        <w:rPr>
          <w:bCs/>
        </w:rPr>
        <w:t xml:space="preserve">pagrindu galimybės taip pat nėra. Jeigu </w:t>
      </w:r>
      <w:r w:rsidR="00C778FC">
        <w:rPr>
          <w:bCs/>
        </w:rPr>
        <w:t>paslaugos</w:t>
      </w:r>
      <w:r w:rsidRPr="0077170E">
        <w:rPr>
          <w:bCs/>
        </w:rPr>
        <w:t xml:space="preserve"> būtų </w:t>
      </w:r>
      <w:r w:rsidR="00C778FC">
        <w:rPr>
          <w:bCs/>
        </w:rPr>
        <w:t xml:space="preserve">atliekamos </w:t>
      </w:r>
      <w:r w:rsidRPr="0077170E">
        <w:rPr>
          <w:bCs/>
        </w:rPr>
        <w:t>skirting</w:t>
      </w:r>
      <w:r w:rsidR="00C778FC">
        <w:rPr>
          <w:bCs/>
        </w:rPr>
        <w:t>ų</w:t>
      </w:r>
      <w:r w:rsidRPr="0077170E">
        <w:rPr>
          <w:bCs/>
        </w:rPr>
        <w:t xml:space="preserve"> tiekėj</w:t>
      </w:r>
      <w:r w:rsidR="00C778FC">
        <w:rPr>
          <w:bCs/>
        </w:rPr>
        <w:t>ų</w:t>
      </w:r>
      <w:r w:rsidRPr="0077170E">
        <w:rPr>
          <w:bCs/>
        </w:rPr>
        <w:t xml:space="preserve">, kiltų </w:t>
      </w:r>
      <w:proofErr w:type="spellStart"/>
      <w:r w:rsidRPr="0077170E">
        <w:rPr>
          <w:bCs/>
        </w:rPr>
        <w:t>problematiškumas</w:t>
      </w:r>
      <w:proofErr w:type="spellEnd"/>
      <w:r w:rsidRPr="0077170E">
        <w:rPr>
          <w:bCs/>
        </w:rPr>
        <w:t xml:space="preserve"> dėl visų </w:t>
      </w:r>
      <w:r w:rsidR="00C778FC">
        <w:rPr>
          <w:bCs/>
        </w:rPr>
        <w:t>paslaugų</w:t>
      </w:r>
      <w:r w:rsidRPr="0077170E">
        <w:rPr>
          <w:bCs/>
        </w:rPr>
        <w:t xml:space="preserve"> </w:t>
      </w:r>
      <w:r w:rsidR="00387B9F">
        <w:rPr>
          <w:bCs/>
        </w:rPr>
        <w:t>suteikimo</w:t>
      </w:r>
      <w:r w:rsidRPr="0077170E">
        <w:rPr>
          <w:bCs/>
        </w:rPr>
        <w:t>: įgyvendinimo etapai pasislenka ir neįmanoma pokyčių ir projektų realizuoti mums reikalingu laiku.</w:t>
      </w:r>
    </w:p>
    <w:p w14:paraId="70507BD8" w14:textId="77777777" w:rsidR="00AE0EF3" w:rsidRPr="0077170E" w:rsidRDefault="00AE0EF3" w:rsidP="00AE0EF3">
      <w:pPr>
        <w:spacing w:after="0"/>
        <w:ind w:firstLine="720"/>
        <w:jc w:val="both"/>
        <w:rPr>
          <w:rFonts w:ascii="Arial" w:hAnsi="Arial" w:cs="Arial"/>
          <w:sz w:val="20"/>
          <w:szCs w:val="20"/>
        </w:rPr>
      </w:pPr>
      <w:r w:rsidRPr="0077170E">
        <w:rPr>
          <w:rFonts w:ascii="Arial" w:hAnsi="Arial" w:cs="Arial"/>
          <w:sz w:val="20"/>
          <w:szCs w:val="20"/>
        </w:rPr>
        <w:t xml:space="preserve">Taip pat vadovaujantis visuotinai žinomomis rinkos taisyklėmis (masto ekonomija), didesnio prekių ar paslaugų kiekio pirkimas sąlygoja mažesnes pasiūlymų kainas, nes vienas paslaugų teikėjas (toliau - Paslaugų teikėjas) gali teikti kelias paslaugas, optimizuojant darbo jėgos, žinių ir kitų resursų sąnaudas, dėl ko pasiūlomi mažesni įkainiai. Jeigu Pirkimas būtų skaidomas į du ir daugiau pirkimo objektus ir paslaugas teiktų du ir daugiau Paslaugų teikėjų, kurie turėtų organizuoti ir užtikrinti savo darbo jėgą, naudojamą įrangą, specialias žinias turinčius specialistus, tai savaime padidintų pasiūlymų kainas atskiroms Pirkimo objekto dalims, palyginus su vienu Paslaugų teikėju (nes diegimo ir aptarnavimo paslauga reikalauja tų pačių specialistų, įrangos, darbo jėgos, tad vienam Paslaugų teikėjui nereikėtų šių žymių sąnaudų dvigubinti). </w:t>
      </w:r>
    </w:p>
    <w:p w14:paraId="137D9567" w14:textId="51B93B44" w:rsidR="00AE0EF3" w:rsidRPr="0077170E" w:rsidRDefault="00AE0EF3" w:rsidP="00AE0EF3">
      <w:pPr>
        <w:pStyle w:val="ListParagraph"/>
        <w:tabs>
          <w:tab w:val="left" w:pos="567"/>
        </w:tabs>
        <w:ind w:left="0"/>
        <w:contextualSpacing w:val="0"/>
        <w:jc w:val="both"/>
        <w:rPr>
          <w:u w:val="single"/>
        </w:rPr>
      </w:pPr>
      <w:r w:rsidRPr="0077170E">
        <w:rPr>
          <w:u w:val="single"/>
        </w:rPr>
        <w:t>Pirkimas negalėtų ir neturėtų būti skaidomas į dalis, nes toks skaidymas nėra galimas pagal VPĮ 28 str. kriterijus dėl to, kad perkama vientisa paslauga, kuri apima analitiko ir testuotojo kompetenciją. Pažymėtina, kad šiuo atveju Pirkimo objektas nei teoriškai, nei praktiškai negali būti skaidomas, nes perkamas</w:t>
      </w:r>
      <w:r w:rsidR="00F36232">
        <w:rPr>
          <w:u w:val="single"/>
        </w:rPr>
        <w:t xml:space="preserve"> vientisas </w:t>
      </w:r>
      <w:r w:rsidRPr="0077170E">
        <w:rPr>
          <w:u w:val="single"/>
        </w:rPr>
        <w:t>pirkimo objektas. Pabrėžtina, kad šiuo atveju Pirkimo objektas nėra skaidomas ne dėl to, kad perkančioji organizacija nusprendė, vadovaudamasi VPĮ 28 str. 2 d. neskaidyti Pirkimo objekto, o būtent dėl paties Pirkimo objekto specifikos – negalimumo skaidyti nedalomą Pirkimo objektą.</w:t>
      </w:r>
    </w:p>
    <w:p w14:paraId="531102B7" w14:textId="77777777" w:rsidR="00AE0EF3" w:rsidRPr="0077170E" w:rsidRDefault="00AE0EF3" w:rsidP="00357346">
      <w:pPr>
        <w:pStyle w:val="ListParagraph"/>
        <w:tabs>
          <w:tab w:val="left" w:pos="567"/>
        </w:tabs>
        <w:ind w:left="0"/>
        <w:contextualSpacing w:val="0"/>
        <w:jc w:val="both"/>
      </w:pPr>
      <w:r w:rsidRPr="0077170E">
        <w:t>GPC pažymi, kad Pirkimo dokumentai ir jų sąlygos neriboja tiekėjų teisės Pirkime pasitelkti subrangovų ar dalyvauti kartu su jungtinės veiklos partneriais ir (ar) kooperuoti jėgas atsižvelgiant į tiekėjų turimus techninius pajėgumus, todėl pačiam tiekėjui neturint pajėgumų, tiekėjas turi galimybę pasitelkti subrangovus ir (ar) jungtinės veiklos partnerius, kurie gali užtikrinti reikiamą pajėgumų apimtį.</w:t>
      </w:r>
    </w:p>
    <w:p w14:paraId="6D9EED6F" w14:textId="77777777" w:rsidR="00387B9F" w:rsidRDefault="00387B9F"/>
    <w:sectPr w:rsidR="00387B9F">
      <w:headerReference w:type="defaul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6BF99" w14:textId="77777777" w:rsidR="001E39F2" w:rsidRDefault="001E39F2" w:rsidP="00AE0EF3">
      <w:pPr>
        <w:spacing w:after="0" w:line="240" w:lineRule="auto"/>
      </w:pPr>
      <w:r>
        <w:separator/>
      </w:r>
    </w:p>
  </w:endnote>
  <w:endnote w:type="continuationSeparator" w:id="0">
    <w:p w14:paraId="3B10EDE6" w14:textId="77777777" w:rsidR="001E39F2" w:rsidRDefault="001E39F2" w:rsidP="00AE0E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6E6FF" w14:textId="77777777" w:rsidR="001E39F2" w:rsidRDefault="001E39F2" w:rsidP="00AE0EF3">
      <w:pPr>
        <w:spacing w:after="0" w:line="240" w:lineRule="auto"/>
      </w:pPr>
      <w:r>
        <w:separator/>
      </w:r>
    </w:p>
  </w:footnote>
  <w:footnote w:type="continuationSeparator" w:id="0">
    <w:p w14:paraId="7D6542D5" w14:textId="77777777" w:rsidR="001E39F2" w:rsidRDefault="001E39F2" w:rsidP="00AE0E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3E6FA" w14:textId="6D9EA896" w:rsidR="00AE0EF3" w:rsidRDefault="00AE0E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E4285"/>
    <w:multiLevelType w:val="multilevel"/>
    <w:tmpl w:val="6916E3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7F42008"/>
    <w:multiLevelType w:val="multilevel"/>
    <w:tmpl w:val="013CD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6A51DC"/>
    <w:multiLevelType w:val="hybridMultilevel"/>
    <w:tmpl w:val="4B601E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C7E33B0"/>
    <w:multiLevelType w:val="multilevel"/>
    <w:tmpl w:val="60A65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3CA6FE1"/>
    <w:multiLevelType w:val="hybridMultilevel"/>
    <w:tmpl w:val="910029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92B7EC9"/>
    <w:multiLevelType w:val="hybridMultilevel"/>
    <w:tmpl w:val="AEAC75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7EA59BA"/>
    <w:multiLevelType w:val="multilevel"/>
    <w:tmpl w:val="DD464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91381518">
    <w:abstractNumId w:val="3"/>
  </w:num>
  <w:num w:numId="2" w16cid:durableId="690111856">
    <w:abstractNumId w:val="2"/>
  </w:num>
  <w:num w:numId="3" w16cid:durableId="211120490">
    <w:abstractNumId w:val="4"/>
  </w:num>
  <w:num w:numId="4" w16cid:durableId="2021424396">
    <w:abstractNumId w:val="0"/>
  </w:num>
  <w:num w:numId="5" w16cid:durableId="1600025105">
    <w:abstractNumId w:val="6"/>
  </w:num>
  <w:num w:numId="6" w16cid:durableId="1409422162">
    <w:abstractNumId w:val="1"/>
  </w:num>
  <w:num w:numId="7" w16cid:durableId="11221900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EF3"/>
    <w:rsid w:val="0000638E"/>
    <w:rsid w:val="00016BA3"/>
    <w:rsid w:val="00031F92"/>
    <w:rsid w:val="001108E5"/>
    <w:rsid w:val="001B1009"/>
    <w:rsid w:val="001E17A1"/>
    <w:rsid w:val="001E1802"/>
    <w:rsid w:val="001E39F2"/>
    <w:rsid w:val="00232621"/>
    <w:rsid w:val="002B70A1"/>
    <w:rsid w:val="00357346"/>
    <w:rsid w:val="00387B9F"/>
    <w:rsid w:val="003A4E0C"/>
    <w:rsid w:val="003E6382"/>
    <w:rsid w:val="003F56F5"/>
    <w:rsid w:val="0047669E"/>
    <w:rsid w:val="00527BC2"/>
    <w:rsid w:val="005329C8"/>
    <w:rsid w:val="005819D5"/>
    <w:rsid w:val="00635F96"/>
    <w:rsid w:val="00640C6F"/>
    <w:rsid w:val="00652927"/>
    <w:rsid w:val="00684651"/>
    <w:rsid w:val="00763BAB"/>
    <w:rsid w:val="00775F4F"/>
    <w:rsid w:val="00791A9E"/>
    <w:rsid w:val="007B564C"/>
    <w:rsid w:val="008153F0"/>
    <w:rsid w:val="00816617"/>
    <w:rsid w:val="00865498"/>
    <w:rsid w:val="008755E8"/>
    <w:rsid w:val="00882127"/>
    <w:rsid w:val="00883B2A"/>
    <w:rsid w:val="009205F2"/>
    <w:rsid w:val="00950C5A"/>
    <w:rsid w:val="0096286E"/>
    <w:rsid w:val="00A74D32"/>
    <w:rsid w:val="00AE0EF3"/>
    <w:rsid w:val="00B51446"/>
    <w:rsid w:val="00B61222"/>
    <w:rsid w:val="00BB0F4C"/>
    <w:rsid w:val="00BC6455"/>
    <w:rsid w:val="00BF2A0F"/>
    <w:rsid w:val="00C32531"/>
    <w:rsid w:val="00C735E7"/>
    <w:rsid w:val="00C778FC"/>
    <w:rsid w:val="00CE1B71"/>
    <w:rsid w:val="00DF3338"/>
    <w:rsid w:val="00E24287"/>
    <w:rsid w:val="00E31895"/>
    <w:rsid w:val="00E34B79"/>
    <w:rsid w:val="00E46591"/>
    <w:rsid w:val="00EC1379"/>
    <w:rsid w:val="00F26AD3"/>
    <w:rsid w:val="00F36232"/>
    <w:rsid w:val="00F71401"/>
    <w:rsid w:val="00F72311"/>
    <w:rsid w:val="00F83AD5"/>
    <w:rsid w:val="00FA482C"/>
    <w:rsid w:val="014BF0D0"/>
    <w:rsid w:val="04C82DD5"/>
    <w:rsid w:val="063C1E40"/>
    <w:rsid w:val="0E1223BD"/>
    <w:rsid w:val="0F402947"/>
    <w:rsid w:val="1CBD1CC2"/>
    <w:rsid w:val="1E8E362E"/>
    <w:rsid w:val="20E1868F"/>
    <w:rsid w:val="2A07E0AA"/>
    <w:rsid w:val="2ED523EF"/>
    <w:rsid w:val="3189E339"/>
    <w:rsid w:val="330018A1"/>
    <w:rsid w:val="33C3999E"/>
    <w:rsid w:val="397F833A"/>
    <w:rsid w:val="3AC031A1"/>
    <w:rsid w:val="3BD254ED"/>
    <w:rsid w:val="42737494"/>
    <w:rsid w:val="4EEDCC3F"/>
    <w:rsid w:val="5202DA85"/>
    <w:rsid w:val="5677BF14"/>
    <w:rsid w:val="579D7FAE"/>
    <w:rsid w:val="5DABED1E"/>
    <w:rsid w:val="690FB2F0"/>
    <w:rsid w:val="70B8751A"/>
    <w:rsid w:val="768C904C"/>
    <w:rsid w:val="773CC2BE"/>
    <w:rsid w:val="77AE3D02"/>
    <w:rsid w:val="7E7F44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9E8AAA"/>
  <w15:chartTrackingRefBased/>
  <w15:docId w15:val="{4206D27A-F3B2-40C1-A8AD-81AEFA893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E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List Paragraph Red,List not in Table,Table of contents numbered,Lente"/>
    <w:basedOn w:val="Normal"/>
    <w:link w:val="ListParagraphChar"/>
    <w:uiPriority w:val="34"/>
    <w:qFormat/>
    <w:rsid w:val="00AE0EF3"/>
    <w:pPr>
      <w:spacing w:after="0" w:line="240" w:lineRule="auto"/>
      <w:ind w:left="720" w:firstLine="720"/>
      <w:contextualSpacing/>
    </w:pPr>
    <w:rPr>
      <w:rFonts w:ascii="Arial" w:eastAsia="Times New Roman" w:hAnsi="Arial" w:cs="Arial"/>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AE0EF3"/>
    <w:rPr>
      <w:rFonts w:ascii="Arial" w:eastAsia="Times New Roman" w:hAnsi="Arial" w:cs="Arial"/>
      <w:sz w:val="20"/>
      <w:szCs w:val="20"/>
      <w:lang w:eastAsia="lt-LT"/>
    </w:rPr>
  </w:style>
  <w:style w:type="paragraph" w:styleId="Header">
    <w:name w:val="header"/>
    <w:basedOn w:val="Normal"/>
    <w:link w:val="HeaderChar"/>
    <w:uiPriority w:val="99"/>
    <w:unhideWhenUsed/>
    <w:rsid w:val="00AE0EF3"/>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0EF3"/>
  </w:style>
  <w:style w:type="paragraph" w:styleId="Footer">
    <w:name w:val="footer"/>
    <w:basedOn w:val="Normal"/>
    <w:link w:val="FooterChar"/>
    <w:uiPriority w:val="99"/>
    <w:unhideWhenUsed/>
    <w:rsid w:val="00AE0EF3"/>
    <w:pPr>
      <w:tabs>
        <w:tab w:val="center" w:pos="4819"/>
        <w:tab w:val="right" w:pos="9638"/>
      </w:tabs>
      <w:spacing w:after="0" w:line="240" w:lineRule="auto"/>
    </w:pPr>
  </w:style>
  <w:style w:type="character" w:customStyle="1" w:styleId="FooterChar">
    <w:name w:val="Footer Char"/>
    <w:basedOn w:val="DefaultParagraphFont"/>
    <w:link w:val="Footer"/>
    <w:uiPriority w:val="99"/>
    <w:rsid w:val="00AE0EF3"/>
  </w:style>
  <w:style w:type="paragraph" w:styleId="Revision">
    <w:name w:val="Revision"/>
    <w:hidden/>
    <w:uiPriority w:val="99"/>
    <w:semiHidden/>
    <w:rsid w:val="00387B9F"/>
    <w:pPr>
      <w:spacing w:after="0" w:line="240" w:lineRule="auto"/>
    </w:pPr>
  </w:style>
  <w:style w:type="character" w:styleId="CommentReference">
    <w:name w:val="annotation reference"/>
    <w:basedOn w:val="DefaultParagraphFont"/>
    <w:uiPriority w:val="99"/>
    <w:semiHidden/>
    <w:unhideWhenUsed/>
    <w:rsid w:val="00387B9F"/>
    <w:rPr>
      <w:sz w:val="16"/>
      <w:szCs w:val="16"/>
    </w:rPr>
  </w:style>
  <w:style w:type="paragraph" w:styleId="CommentText">
    <w:name w:val="annotation text"/>
    <w:basedOn w:val="Normal"/>
    <w:link w:val="CommentTextChar"/>
    <w:uiPriority w:val="99"/>
    <w:unhideWhenUsed/>
    <w:rsid w:val="00387B9F"/>
    <w:pPr>
      <w:spacing w:line="240" w:lineRule="auto"/>
    </w:pPr>
    <w:rPr>
      <w:sz w:val="20"/>
      <w:szCs w:val="20"/>
    </w:rPr>
  </w:style>
  <w:style w:type="character" w:customStyle="1" w:styleId="CommentTextChar">
    <w:name w:val="Comment Text Char"/>
    <w:basedOn w:val="DefaultParagraphFont"/>
    <w:link w:val="CommentText"/>
    <w:uiPriority w:val="99"/>
    <w:rsid w:val="00387B9F"/>
    <w:rPr>
      <w:sz w:val="20"/>
      <w:szCs w:val="20"/>
    </w:rPr>
  </w:style>
  <w:style w:type="paragraph" w:styleId="CommentSubject">
    <w:name w:val="annotation subject"/>
    <w:basedOn w:val="CommentText"/>
    <w:next w:val="CommentText"/>
    <w:link w:val="CommentSubjectChar"/>
    <w:uiPriority w:val="99"/>
    <w:semiHidden/>
    <w:unhideWhenUsed/>
    <w:rsid w:val="00387B9F"/>
    <w:rPr>
      <w:b/>
      <w:bCs/>
    </w:rPr>
  </w:style>
  <w:style w:type="character" w:customStyle="1" w:styleId="CommentSubjectChar">
    <w:name w:val="Comment Subject Char"/>
    <w:basedOn w:val="CommentTextChar"/>
    <w:link w:val="CommentSubject"/>
    <w:uiPriority w:val="99"/>
    <w:semiHidden/>
    <w:rsid w:val="00387B9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5701153">
      <w:bodyDiv w:val="1"/>
      <w:marLeft w:val="0"/>
      <w:marRight w:val="0"/>
      <w:marTop w:val="0"/>
      <w:marBottom w:val="0"/>
      <w:divBdr>
        <w:top w:val="none" w:sz="0" w:space="0" w:color="auto"/>
        <w:left w:val="none" w:sz="0" w:space="0" w:color="auto"/>
        <w:bottom w:val="none" w:sz="0" w:space="0" w:color="auto"/>
        <w:right w:val="none" w:sz="0" w:space="0" w:color="auto"/>
      </w:divBdr>
    </w:div>
    <w:div w:id="920213021">
      <w:bodyDiv w:val="1"/>
      <w:marLeft w:val="0"/>
      <w:marRight w:val="0"/>
      <w:marTop w:val="0"/>
      <w:marBottom w:val="0"/>
      <w:divBdr>
        <w:top w:val="none" w:sz="0" w:space="0" w:color="auto"/>
        <w:left w:val="none" w:sz="0" w:space="0" w:color="auto"/>
        <w:bottom w:val="none" w:sz="0" w:space="0" w:color="auto"/>
        <w:right w:val="none" w:sz="0" w:space="0" w:color="auto"/>
      </w:divBdr>
    </w:div>
    <w:div w:id="1091705693">
      <w:bodyDiv w:val="1"/>
      <w:marLeft w:val="0"/>
      <w:marRight w:val="0"/>
      <w:marTop w:val="0"/>
      <w:marBottom w:val="0"/>
      <w:divBdr>
        <w:top w:val="none" w:sz="0" w:space="0" w:color="auto"/>
        <w:left w:val="none" w:sz="0" w:space="0" w:color="auto"/>
        <w:bottom w:val="none" w:sz="0" w:space="0" w:color="auto"/>
        <w:right w:val="none" w:sz="0" w:space="0" w:color="auto"/>
      </w:divBdr>
    </w:div>
    <w:div w:id="1517429727">
      <w:bodyDiv w:val="1"/>
      <w:marLeft w:val="0"/>
      <w:marRight w:val="0"/>
      <w:marTop w:val="0"/>
      <w:marBottom w:val="0"/>
      <w:divBdr>
        <w:top w:val="none" w:sz="0" w:space="0" w:color="auto"/>
        <w:left w:val="none" w:sz="0" w:space="0" w:color="auto"/>
        <w:bottom w:val="none" w:sz="0" w:space="0" w:color="auto"/>
        <w:right w:val="none" w:sz="0" w:space="0" w:color="auto"/>
      </w:divBdr>
    </w:div>
    <w:div w:id="2014528521">
      <w:bodyDiv w:val="1"/>
      <w:marLeft w:val="0"/>
      <w:marRight w:val="0"/>
      <w:marTop w:val="0"/>
      <w:marBottom w:val="0"/>
      <w:divBdr>
        <w:top w:val="none" w:sz="0" w:space="0" w:color="auto"/>
        <w:left w:val="none" w:sz="0" w:space="0" w:color="auto"/>
        <w:bottom w:val="none" w:sz="0" w:space="0" w:color="auto"/>
        <w:right w:val="none" w:sz="0" w:space="0" w:color="auto"/>
      </w:divBdr>
    </w:div>
    <w:div w:id="2025788049">
      <w:bodyDiv w:val="1"/>
      <w:marLeft w:val="0"/>
      <w:marRight w:val="0"/>
      <w:marTop w:val="0"/>
      <w:marBottom w:val="0"/>
      <w:divBdr>
        <w:top w:val="none" w:sz="0" w:space="0" w:color="auto"/>
        <w:left w:val="none" w:sz="0" w:space="0" w:color="auto"/>
        <w:bottom w:val="none" w:sz="0" w:space="0" w:color="auto"/>
        <w:right w:val="none" w:sz="0" w:space="0" w:color="auto"/>
      </w:divBdr>
    </w:div>
    <w:div w:id="2060473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5B957366225CE46B73BE21D8A434134" ma:contentTypeVersion="16" ma:contentTypeDescription="Create a new document." ma:contentTypeScope="" ma:versionID="e9a9a85330093125e644cc6a4735fb3e">
  <xsd:schema xmlns:xsd="http://www.w3.org/2001/XMLSchema" xmlns:xs="http://www.w3.org/2001/XMLSchema" xmlns:p="http://schemas.microsoft.com/office/2006/metadata/properties" xmlns:ns1="http://schemas.microsoft.com/sharepoint/v3" xmlns:ns2="6693a141-8e6a-45c7-902a-c81539119840" xmlns:ns3="00f80ae6-8363-49ad-96e9-bc9dd9272cad" targetNamespace="http://schemas.microsoft.com/office/2006/metadata/properties" ma:root="true" ma:fieldsID="c4fa65f980e3762956b4cbf530a590b8" ns1:_="" ns2:_="" ns3:_="">
    <xsd:import namespace="http://schemas.microsoft.com/sharepoint/v3"/>
    <xsd:import namespace="6693a141-8e6a-45c7-902a-c81539119840"/>
    <xsd:import namespace="00f80ae6-8363-49ad-96e9-bc9dd9272ca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93a141-8e6a-45c7-902a-c8153911984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6a5c5833-7751-42ac-82c2-f5d9d31aebeb}" ma:internalName="TaxCatchAll" ma:showField="CatchAllData" ma:web="6693a141-8e6a-45c7-902a-c8153911984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f80ae6-8363-49ad-96e9-bc9dd9272ca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00f80ae6-8363-49ad-96e9-bc9dd9272cad">
      <Terms xmlns="http://schemas.microsoft.com/office/infopath/2007/PartnerControls"/>
    </lcf76f155ced4ddcb4097134ff3c332f>
    <_ip_UnifiedCompliancePolicyProperties xmlns="http://schemas.microsoft.com/sharepoint/v3" xsi:nil="true"/>
    <TaxCatchAll xmlns="6693a141-8e6a-45c7-902a-c8153911984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479CA1-D716-432B-B4A8-F033030016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93a141-8e6a-45c7-902a-c81539119840"/>
    <ds:schemaRef ds:uri="00f80ae6-8363-49ad-96e9-bc9dd9272c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D5E4CB-F54E-4092-9CEF-80D6C2323528}">
  <ds:schemaRefs>
    <ds:schemaRef ds:uri="http://schemas.microsoft.com/office/2006/metadata/properties"/>
    <ds:schemaRef ds:uri="http://schemas.microsoft.com/office/infopath/2007/PartnerControls"/>
    <ds:schemaRef ds:uri="http://schemas.microsoft.com/sharepoint/v3"/>
    <ds:schemaRef ds:uri="00f80ae6-8363-49ad-96e9-bc9dd9272cad"/>
    <ds:schemaRef ds:uri="6693a141-8e6a-45c7-902a-c81539119840"/>
  </ds:schemaRefs>
</ds:datastoreItem>
</file>

<file path=customXml/itemProps3.xml><?xml version="1.0" encoding="utf-8"?>
<ds:datastoreItem xmlns:ds="http://schemas.openxmlformats.org/officeDocument/2006/customXml" ds:itemID="{844F1EB3-D987-45F9-B338-A9EBD9580A17}">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17</TotalTime>
  <Pages>2</Pages>
  <Words>4914</Words>
  <Characters>2802</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Vaišvydienė</dc:creator>
  <cp:keywords/>
  <dc:description/>
  <cp:lastModifiedBy>Marius Stankus</cp:lastModifiedBy>
  <cp:revision>9</cp:revision>
  <dcterms:created xsi:type="dcterms:W3CDTF">2025-09-11T12:23:00Z</dcterms:created>
  <dcterms:modified xsi:type="dcterms:W3CDTF">2026-01-29T13:05:00Z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72f41c3-e13f-459e-b97d-f5bcb1a697c0_Enabled">
    <vt:lpwstr>True</vt:lpwstr>
  </property>
  <property fmtid="{D5CDD505-2E9C-101B-9397-08002B2CF9AE}" pid="3" name="MSIP_Label_c72f41c3-e13f-459e-b97d-f5bcb1a697c0_SiteId">
    <vt:lpwstr>ea88e983-d65a-47b3-adb4-3e1c6d2110d2</vt:lpwstr>
  </property>
  <property fmtid="{D5CDD505-2E9C-101B-9397-08002B2CF9AE}" pid="4" name="MSIP_Label_c72f41c3-e13f-459e-b97d-f5bcb1a697c0_Owner">
    <vt:lpwstr>Monika.Vaisvydiene@ignitis.lt</vt:lpwstr>
  </property>
  <property fmtid="{D5CDD505-2E9C-101B-9397-08002B2CF9AE}" pid="5" name="MSIP_Label_c72f41c3-e13f-459e-b97d-f5bcb1a697c0_SetDate">
    <vt:lpwstr>2021-06-21T07:37:10.1823151Z</vt:lpwstr>
  </property>
  <property fmtid="{D5CDD505-2E9C-101B-9397-08002B2CF9AE}" pid="6" name="MSIP_Label_c72f41c3-e13f-459e-b97d-f5bcb1a697c0_Name">
    <vt:lpwstr>Vidaus naudojimo</vt:lpwstr>
  </property>
  <property fmtid="{D5CDD505-2E9C-101B-9397-08002B2CF9AE}" pid="7" name="MSIP_Label_c72f41c3-e13f-459e-b97d-f5bcb1a697c0_Application">
    <vt:lpwstr>Microsoft Azure Information Protection</vt:lpwstr>
  </property>
  <property fmtid="{D5CDD505-2E9C-101B-9397-08002B2CF9AE}" pid="8" name="MSIP_Label_c72f41c3-e13f-459e-b97d-f5bcb1a697c0_ActionId">
    <vt:lpwstr>37b5eb40-6d8c-462c-bc7d-aef078c71f6f</vt:lpwstr>
  </property>
  <property fmtid="{D5CDD505-2E9C-101B-9397-08002B2CF9AE}" pid="9" name="MSIP_Label_c72f41c3-e13f-459e-b97d-f5bcb1a697c0_Extended_MSFT_Method">
    <vt:lpwstr>Automatic</vt:lpwstr>
  </property>
  <property fmtid="{D5CDD505-2E9C-101B-9397-08002B2CF9AE}" pid="10" name="MSIP_Label_39c4488a-2382-4e02-93af-ef5dabf4b71d_Enabled">
    <vt:lpwstr>true</vt:lpwstr>
  </property>
  <property fmtid="{D5CDD505-2E9C-101B-9397-08002B2CF9AE}" pid="11" name="MSIP_Label_39c4488a-2382-4e02-93af-ef5dabf4b71d_SetDate">
    <vt:lpwstr>2022-08-05T05:03:52Z</vt:lpwstr>
  </property>
  <property fmtid="{D5CDD505-2E9C-101B-9397-08002B2CF9AE}" pid="12" name="MSIP_Label_39c4488a-2382-4e02-93af-ef5dabf4b71d_Method">
    <vt:lpwstr>Standard</vt:lpwstr>
  </property>
  <property fmtid="{D5CDD505-2E9C-101B-9397-08002B2CF9AE}" pid="13" name="MSIP_Label_39c4488a-2382-4e02-93af-ef5dabf4b71d_Name">
    <vt:lpwstr>Vidaus naudojimo</vt:lpwstr>
  </property>
  <property fmtid="{D5CDD505-2E9C-101B-9397-08002B2CF9AE}" pid="14" name="MSIP_Label_39c4488a-2382-4e02-93af-ef5dabf4b71d_SiteId">
    <vt:lpwstr>ea88e983-d65a-47b3-adb4-3e1c6d2110d2</vt:lpwstr>
  </property>
  <property fmtid="{D5CDD505-2E9C-101B-9397-08002B2CF9AE}" pid="15" name="MSIP_Label_39c4488a-2382-4e02-93af-ef5dabf4b71d_ActionId">
    <vt:lpwstr>e47c4fcc-3b32-46bc-90ed-d5423ede18d4</vt:lpwstr>
  </property>
  <property fmtid="{D5CDD505-2E9C-101B-9397-08002B2CF9AE}" pid="16" name="MSIP_Label_39c4488a-2382-4e02-93af-ef5dabf4b71d_ContentBits">
    <vt:lpwstr>11</vt:lpwstr>
  </property>
  <property fmtid="{D5CDD505-2E9C-101B-9397-08002B2CF9AE}" pid="17" name="ContentTypeId">
    <vt:lpwstr>0x01010075B957366225CE46B73BE21D8A434134</vt:lpwstr>
  </property>
</Properties>
</file>